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14886"/>
      </w:tblGrid>
      <w:tr w:rsidR="00300775" w:rsidRPr="00B3180A" w:rsidTr="00300775">
        <w:tc>
          <w:tcPr>
            <w:tcW w:w="8466" w:type="dxa"/>
            <w:shd w:val="clear" w:color="auto" w:fill="FFFFFF"/>
            <w:tcMar>
              <w:top w:w="0" w:type="dxa"/>
              <w:left w:w="158" w:type="dxa"/>
              <w:bottom w:w="0" w:type="dxa"/>
              <w:right w:w="158" w:type="dxa"/>
            </w:tcMar>
            <w:hideMark/>
          </w:tcPr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00775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Ж.Сәрсенов атындағы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21</w:t>
            </w:r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оқу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жылында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кәмелетке толмағандардың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арасында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құқық бұзушылықтың 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  <w:r w:rsidRPr="003007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алдын алу жұмысының жоспары</w:t>
            </w:r>
          </w:p>
          <w:tbl>
            <w:tblPr>
              <w:tblW w:w="14577" w:type="dxa"/>
              <w:jc w:val="center"/>
              <w:tblCellSpacing w:w="0" w:type="dxa"/>
              <w:tblInd w:w="8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94"/>
              <w:gridCol w:w="6748"/>
              <w:gridCol w:w="1946"/>
              <w:gridCol w:w="3291"/>
              <w:gridCol w:w="1898"/>
            </w:tblGrid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300775">
                  <w:pPr>
                    <w:spacing w:before="100" w:beforeAutospacing="1" w:after="100" w:afterAutospacing="1" w:line="240" w:lineRule="auto"/>
                    <w:ind w:right="-341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val="kk-KZ"/>
                    </w:rPr>
                  </w:pPr>
                  <w:r w:rsidRPr="00300775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№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val="kk-KZ"/>
                    </w:rPr>
                  </w:pPr>
                  <w:r w:rsidRPr="00300775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Іс-шараның атауы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val="kk-KZ"/>
                    </w:rPr>
                  </w:pPr>
                  <w:r w:rsidRPr="00300775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Орындау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val="kk-KZ"/>
                    </w:rPr>
                  </w:pPr>
                  <w:r w:rsidRPr="00300775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мерзімі</w:t>
                  </w:r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val="kk-KZ"/>
                    </w:rPr>
                  </w:pPr>
                  <w:r w:rsidRPr="00300775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Жауапты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val="kk-KZ"/>
                    </w:rPr>
                  </w:pPr>
                  <w:r w:rsidRPr="00300775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Қорытынды түрі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14577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val="kk-KZ"/>
                    </w:rPr>
                  </w:pPr>
                  <w:r w:rsidRPr="00300775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І. Алдын алу жұмыстарын ұйымдастыру, әдістемелік, ақпараттық қамтамасыз ету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Саба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ққа қатыспайтын,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себепсіз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босататын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 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балалармен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жеткіншектерді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табу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бойынша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 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іс-шараларды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ұйымдастыру және сабақтан қалуға 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себеп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болған жағдайлар мен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шарттарды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жоюға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шаралар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қолдану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ТЖ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әлеуметтік педагог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Директордың қатысумен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жиналыс</w:t>
                  </w:r>
                  <w:proofErr w:type="spellEnd"/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Қиын өмірлік жағдайға тап болған отбасылардағы 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балаларды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анықтау және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есепке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бойынша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  жұмыстарды жүргізу, осы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отбасылармен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алдын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жұмыстарын үнемі ұйымдастыру 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тұру</w:t>
                  </w:r>
                  <w:proofErr w:type="gramEnd"/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Тоқсан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сайын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ТЖ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орынбасары</w:t>
                  </w:r>
                  <w:proofErr w:type="spellEnd"/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әлеуметтік педагог,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Мәліметтер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базасы</w:t>
                  </w:r>
                  <w:proofErr w:type="spellEnd"/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Оқушылардың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арасында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құқық бұзушылықты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ескерту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бойынша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  әлеуметтік-психологиялық  қызметтің жұмысын ұйымдастыру.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Ү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нем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і</w:t>
                  </w:r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Әкімшілік,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психологтер</w:t>
                  </w:r>
                  <w:proofErr w:type="spellEnd"/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Б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ұйрық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4.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Балалар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мен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жеткіншектерді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үйірмелерге, спорттық секцияларға, қосымша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білім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алуды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ұйымдастыруға, спорттық және аула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клубтарына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  қ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атыстыру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ға  жұмылдыру, жұмыстарды ұйымдастыру.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ТЖ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орынбасарлары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Хиса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,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Құқық бұзушылыққа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бейі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м</w:t>
                  </w:r>
                  <w:proofErr w:type="spellEnd"/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кәмелетке  толмағандарды бос уақытта іс-шараларға қамту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бойынша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мониторингті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іске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асыру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Тоқсан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сайын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жетекшілер,әлеуметті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к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педагог,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мектеп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инспекторы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Мәліметтер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базасы</w:t>
                  </w:r>
                  <w:proofErr w:type="spellEnd"/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Тұрмыс жағдайы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нашар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отбасыларындағы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балалар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мен жеткіншектердің және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алдын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есебінде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  тұ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р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ған оқушылардың жазғы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мерзімдегі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демалысын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қамтамасыз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ету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Маусым-тамыз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ТЖ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, әлеуметті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к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педагог,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мектеп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инспекторы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Директордың қатысумен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жиналыс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,  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7.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Тұ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р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ғын үйге мұқтаж болған кәмелетке  толмағандарға қатысты тұрғын үй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туралы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заңдылықтың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орындалу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барысына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тексеріс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жүргізі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Тоқсан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сайын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, әлеуметті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к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педагог,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мектеп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инспекторы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8.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Оқушылардың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жеке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қасиеттерін анықтау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бойынша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диагностикалық жұмыстарды өткізі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психологтар</w:t>
                  </w:r>
                  <w:proofErr w:type="spellEnd"/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Әдістемелі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к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ірлестік</w:t>
                  </w:r>
                  <w:proofErr w:type="spellEnd"/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lastRenderedPageBreak/>
                    <w:t>9.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Жоғары оқу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орындары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заң факультетінің оқушыларын шақыру арқылы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білім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ұйымдарына құқықтық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жаппай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қуды өткізу.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Тоқсан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сайын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Ақпараттық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алдын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топтарының (ИПГ)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басшылары</w:t>
                  </w:r>
                  <w:proofErr w:type="spellEnd"/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 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Аймақтық ІІБ қызметкерлерінің  қатысуымен дә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р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істерді,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алдын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әңгімелерін  өткізулерді,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консультациялары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, дөңгелек үстелдерді,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жиналыстарды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ұйымдастыру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ТЖ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орынбасарлары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Хиса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,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Кәмелетке толмағандар арасындағы құқық бұзушылықты 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алдын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алуға бағытталған аймақты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қ ІІБ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бірлескен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жедел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алдын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кешенді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іс-шаралар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өткізу.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ТЖ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орынбасарлары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Хиса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,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, әлеуметтік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педагог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,м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ектеп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инспекторы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 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12.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Наша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қорлыққа, маскүнемдікке қарсы бағытталған кең ауқымды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акциялар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өткізі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ТЖ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орынбасарлары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Хиса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,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, әлеуметтік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педагог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,м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ектеп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инспекторы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Ата-аналар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>  жұртшылығын кең ауқымда жұмылдырумен бұқаралы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қ-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мәдениеттілік және спорттық 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іс-шаралар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өткізу.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ТЖ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орынбасарлары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Хиса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,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дене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шынықтыру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ӘБ</w:t>
                  </w:r>
                  <w:proofErr w:type="gramEnd"/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14.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ІІБ Әкімшілік полиция бөлімі қызметкерлерінің қатысуымен жол-көлікті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к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жарақаттанудың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алдын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бойынша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іс-шаралар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өткізу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ТЖ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орынбасарлары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Хиса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,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, әлеуметтік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педагог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,м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ектеп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инспекторы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 ақпарат</w:t>
                  </w:r>
                </w:p>
              </w:tc>
            </w:tr>
            <w:tr w:rsidR="00300775" w:rsidRPr="00B3180A" w:rsidTr="00300775">
              <w:trPr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6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Салауатты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өмі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р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салтын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қалыптастыру облыстық орталығымен, облыстық наркологиялық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диспансерімен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және басқа да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мекемелермен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нашақорлық және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алкогольдік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өнімдерді қолдануды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алдын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алу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бойынша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бірлескен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 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іс-шараларды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өткізу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Жыл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бойы</w:t>
                  </w:r>
                  <w:proofErr w:type="spellEnd"/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ТЖ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орынбасарлары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Хиса</w:t>
                  </w:r>
                  <w:proofErr w:type="spellEnd"/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Ж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, Асадова М.Т</w:t>
                  </w:r>
                </w:p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сынып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жетекшілері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, әлеуметтік </w:t>
                  </w:r>
                  <w:proofErr w:type="spellStart"/>
                  <w:r w:rsidRPr="00B3180A">
                    <w:rPr>
                      <w:rFonts w:ascii="Times New Roman" w:eastAsia="Times New Roman" w:hAnsi="Times New Roman" w:cs="Times New Roman"/>
                    </w:rPr>
                    <w:t>педагог</w:t>
                  </w:r>
                  <w:proofErr w:type="gramStart"/>
                  <w:r w:rsidRPr="00B3180A">
                    <w:rPr>
                      <w:rFonts w:ascii="Times New Roman" w:eastAsia="Times New Roman" w:hAnsi="Times New Roman" w:cs="Times New Roman"/>
                    </w:rPr>
                    <w:t>,м</w:t>
                  </w:r>
                  <w:proofErr w:type="gramEnd"/>
                  <w:r w:rsidRPr="00B3180A">
                    <w:rPr>
                      <w:rFonts w:ascii="Times New Roman" w:eastAsia="Times New Roman" w:hAnsi="Times New Roman" w:cs="Times New Roman"/>
                    </w:rPr>
                    <w:t>ектеп</w:t>
                  </w:r>
                  <w:proofErr w:type="spellEnd"/>
                  <w:r w:rsidRPr="00B3180A">
                    <w:rPr>
                      <w:rFonts w:ascii="Times New Roman" w:eastAsia="Times New Roman" w:hAnsi="Times New Roman" w:cs="Times New Roman"/>
                    </w:rPr>
                    <w:t xml:space="preserve"> инспекторы</w:t>
                  </w:r>
                </w:p>
              </w:tc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 ақпарат</w:t>
                  </w:r>
                </w:p>
              </w:tc>
            </w:tr>
          </w:tbl>
          <w:p w:rsidR="00300775" w:rsidRPr="00B3180A" w:rsidRDefault="00300775" w:rsidP="00B31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E91C9F" w:rsidRDefault="00E91C9F" w:rsidP="00B31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1C9F" w:rsidRDefault="00E91C9F" w:rsidP="00B31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1C9F" w:rsidRPr="00B3180A" w:rsidRDefault="00E91C9F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Құқық бұзушылықтың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алдын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алуға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байланысты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жүргізілген  жұмыстардың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талдауы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2016-2017 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оқу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жылы</w:t>
            </w:r>
            <w:proofErr w:type="spellEnd"/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Мақсаты</w:t>
            </w:r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:  Кәмелетке толмағандармен құқық бұзушылықтардың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алды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жұмыстары жүргізу үшін құқықтық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негіздерді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жағдайында қалыптастыру.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Міндеті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: Кәмелетке толмағандардың заңға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мойын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ұсынушылық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мінез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құлқын қалыптастыру, олардың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бойында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имандылық пен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салауатты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өмі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салтының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негіздерін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дамыту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бағытындағы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негізгі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шараларды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жүзеге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асыру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Себепсіз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сабақ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босататын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оқушыларды анықтау,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есепке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тиі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шараларды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жүзеге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асыру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 2015-2016 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қу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жылына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жылдық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жоспар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жасалынып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құқық бұзушылықтың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отырысының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кестесі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құрылды.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Кесте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ә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айдың үшінші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аптасында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отырыс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болып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отырады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Отырыс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қа барлық кеңес мүшелері толығымен қатысады.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Құқық бұзушылықтың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мына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төмендегі жұмыстар жүргізілді.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 Кәмелетке толмағандармен құқық бұзушылықтармен, қадағалаусыз,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панасыз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қалудың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мақсатында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инспекторымен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бірлесе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жұмыс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жасайтын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мектепшілік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жедел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отряд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тобы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құрылды.  Құрамында 11 сыныптың 3 оқушысынан тұрады. «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Мектепке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жол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» тақырыбындағы Республикалық ұйымдастырылған акция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мектепке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қарасты аумақта және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кейбір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оқушылардың үйлеріне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жетекшісі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әлуеметтік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педогог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жедел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отряд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тобы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тарапынан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рейд жұмыстары жүргізілді.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Жалпы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оқумен қамтамасыз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ету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шаралары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жүргізілді.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инспекторы, Т.Ж.О  Асадова М.Т 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Хиса</w:t>
            </w:r>
            <w:proofErr w:type="spellEnd"/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әлеуметтік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педогог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«Ұлттық алкоголь тұтынудан бас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тарту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» күніне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байланысты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. «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Ішімдік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қоғам ағзасына түскен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індет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» тақырыбында слайд шоу және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видеороликтер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көрсетілді.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Сонымен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қатар «бар қаді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іңді жоғалтатын- алкоголь»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атты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тақырыбында дөңгелек үстел ұйымдастырылып,  оқушылар өз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ойларын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ортаға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салып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бөлісті.  «Алкогольдың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пайдасы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зияны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8-9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сыныптар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арасында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дебат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ұйымдастырылды. Бұл тақырыптарда оқушылардың  ақпарат беру арқылы ғана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емес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  өздерінің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дайындалуымен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ә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түрлі өмірдегі ситуациялық жағдайларды  көрініс түрінде көрсету және оны талқылау оқушылар үшін өте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тиімді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және қызықты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болды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color w:val="000000"/>
              </w:rPr>
              <w:t>               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 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Мектепшілік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тіркеуде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тұ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ған оқушылардың үйлеріне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жетекшілерімен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бірге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әлеуметтік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педогог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рейд жұмыстары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жасалды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 Биылғы 2015-2016 оқу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жылында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мектепшілік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тіркеуде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тұ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ған оқушылар саны- 6 . Ай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сайын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осы оқушылармен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мектепшілік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  құқық бұзушылықтың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отырысына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ата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анасы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шақырылып,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тиісті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шаралар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қолданды. 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Қазан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айында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 «Түнгі қаладағы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балалар</w:t>
            </w:r>
            <w:proofErr w:type="spellEnd"/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тты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рейд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жасалды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Рейдке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полииция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қызметкерлерімен, қалалық мектептердің тәрбие жөніндегі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орынбасарлары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әлеуметтік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педогог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қатысты. Рейд нәтижесінде қаланың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кешкі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көңі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көтеретін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орындарына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біздің мектептің оқушылары жоқ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екендігі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анықталды.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 Қараша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айында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 демалысқа шыққан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кездегі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қиын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жұмыстар жүргізілді. Мұнда оқушылармен  "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Біз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салауатты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өмі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салтын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сақтаймыз"   тақырыбында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дене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шынықтыру пәнінің мұғалімдерімен спорттық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сайыс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өткіздік. Мұнда оқушылар әр түрлі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тапсырмаларды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бірден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орындап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,(арқан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тартыс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доп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лақ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тыру,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жіптен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секіру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) өздерінің  спортқа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деген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қызығушылығының жоғары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екендігін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көрсетті. "Мен бақытты ғұмыр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кешуге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лайықтымын" тақырыбында қабырға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газеттері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шығарылды.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Желтоқсан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айында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         ПЖ Т мүшелерімен  ТЖО Асадова М.Т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әлеуметтік педагог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Джумадилов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М, психолог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Абдрасилова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С.Н., АӘД мұғалімі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Сайдулла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А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бірлесе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отырып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дүкендерге,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кафелерге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сауда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орталығына  рейд 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жасалды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          Қарағанды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облысы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басқармасының  </w:t>
            </w:r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22.07.2015 ж  №01-17/</w:t>
            </w:r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0001752  күнгі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тапсырмасына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сәйкес мұғалімдермен,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ата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аналармен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кәмелетке толмағандар мен қылмыстың алдын-алуға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байланысты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жұмыстар жүргізілді.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Ата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аналар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жиналысында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 мектептің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ішкі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тәрті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ережелері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оқушылардың өмір қауіпсіздігі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туралы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таныстырылды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 Оқу тәрбие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барысында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мұғалімдер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арасында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 әдістемелік кеңестер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кезінде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  жасөспі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імдермен дұрыс қарым- қатынас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ұсыныстары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айтылды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 Мектебіміздің I қабатында  «Бақытты балалық шақ» тақырыбында  үгіт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насихат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бұрышы дайындалған.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Сенім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жәшігі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мектебіміздің Т.Ж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орынбасарлары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психологы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әлеуметтік педагог директор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жанында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кеңесте, әкімшілік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отырысында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аптасына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түскен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хаттарды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талқыланып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отырады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 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Сонымен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қатар 11сынып оқушылары және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ата-аналарына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   ҰБ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ге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дайындық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кезінде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түсіндірме жұмыстары жүргізіліп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жатыр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.  1-11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оқушылардың құқықтық сауаттылығын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мақсатында түсіндірме жұмыстары ұйымдастырылды. 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инспекторы 4.09.2015ж өткен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жиналасында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«Абайлаңыз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балалар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» тақырыбында ата-аналарға, оқушыларға 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лекция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оқыды. Т.Ж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орынбасарлары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инспекторы, әлеуметтік педагог 18-ге толмаған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жасөспі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імдерге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спирттік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ішімдік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және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темекі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өнімдерін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сатпауы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рейд жүргізілді. Рейд қорытындысы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ешқандай құқық бұзушылық байқалмады.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Сонымен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қатар оқушылардың сабақты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себепсіз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босатуына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жол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бермеу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және сабақты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себепсіз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босатуға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бейім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оқушыларды анықтау мақсатында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мектебімізде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нақты жұмыстар жүргізілді.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Наурыз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айында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мектепішілік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есепте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тұ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ған оқушылардң көктемгі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демалысын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жетекшілер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мен әлеуметтік педагог  қаладағы қысқы бақ пен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музейлерге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және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мектепте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 1-Сәуі</w:t>
            </w:r>
            <w:proofErr w:type="gram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«Күлкі күніне» ұйымдастырылған «КВН» қатыстырып уақыттырын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тиімді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өткізді. Жазғы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демалысын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мектептегы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« Жазғы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лагермен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» қамтып , қалған бос уақыттырын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ата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аналарымен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бірге</w:t>
            </w:r>
            <w:proofErr w:type="spellEnd"/>
            <w:r w:rsidRPr="00B318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kk-KZ"/>
              </w:rPr>
              <w:t>«Теміртау қаласы №9 мектеп-лицейі»КММ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«Ал Сен агрессияңды қалай жеңесің?» атты роликке №1 нысан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20"/>
              <w:gridCol w:w="6730"/>
            </w:tblGrid>
            <w:tr w:rsidR="00300775" w:rsidRPr="00B3180A" w:rsidTr="00B3180A">
              <w:trPr>
                <w:trHeight w:val="414"/>
              </w:trPr>
              <w:tc>
                <w:tcPr>
                  <w:tcW w:w="7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6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Нәтижелері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i/>
                      <w:iCs/>
                      <w:lang w:val="kk-KZ"/>
                    </w:rPr>
                    <w:t>оқушылардың саны және пайызы %</w:t>
                  </w:r>
                </w:p>
              </w:tc>
            </w:tr>
            <w:tr w:rsidR="00300775" w:rsidRPr="00B3180A" w:rsidTr="00B3180A">
              <w:trPr>
                <w:trHeight w:val="807"/>
              </w:trPr>
              <w:tc>
                <w:tcPr>
                  <w:tcW w:w="7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Қамтылған оқушылар саны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(8-11 сыныптар)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lastRenderedPageBreak/>
                    <w:t> 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lastRenderedPageBreak/>
                    <w:t> 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175 қатысқан оқушы саны 94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%</w:t>
                  </w:r>
                </w:p>
              </w:tc>
            </w:tr>
            <w:tr w:rsidR="00300775" w:rsidRPr="00B3180A" w:rsidTr="00B3180A">
              <w:trPr>
                <w:trHeight w:val="807"/>
              </w:trPr>
              <w:tc>
                <w:tcPr>
                  <w:tcW w:w="7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lastRenderedPageBreak/>
                    <w:t>Жасөспірімнің агрессия көрінісінде хабардар болу деңгейі: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426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Жоғары (80-100%),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426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Орташа (51-79%),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426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Төмен (50% және төмен)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8 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- 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4,5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160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 - 91,4%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 - 4,1%</w:t>
                  </w:r>
                </w:p>
              </w:tc>
            </w:tr>
            <w:tr w:rsidR="00300775" w:rsidRPr="00B3180A" w:rsidTr="00B3180A">
              <w:trPr>
                <w:trHeight w:val="282"/>
              </w:trPr>
              <w:tc>
                <w:tcPr>
                  <w:tcW w:w="7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Роликті көрсету алдындағы </w:t>
                  </w:r>
                  <w:r w:rsidRPr="00B3180A">
                    <w:rPr>
                      <w:rFonts w:ascii="Times New Roman" w:eastAsia="Times New Roman" w:hAnsi="Times New Roman" w:cs="Times New Roman"/>
                      <w:i/>
                      <w:iCs/>
                      <w:lang w:val="kk-KZ"/>
                    </w:rPr>
                    <w:t>(оң % / теріс % )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 және одан кейінгі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i/>
                      <w:iCs/>
                      <w:lang w:val="kk-KZ"/>
                    </w:rPr>
                    <w:t>(оң % / теріс % )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 мектеп оқушыларының жағдайы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Оң 175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-100%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Теріс - 0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Оң 175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-100%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Теріс - 0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%</w:t>
                  </w:r>
                </w:p>
              </w:tc>
            </w:tr>
            <w:tr w:rsidR="00300775" w:rsidRPr="00B3180A" w:rsidTr="00B3180A">
              <w:trPr>
                <w:trHeight w:val="282"/>
              </w:trPr>
              <w:tc>
                <w:tcPr>
                  <w:tcW w:w="7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Көргеннен кейін оқушыларға роликтің әсер етуі: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қызықты, пайдалы %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жалпы көруге және қолдануға болады %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қызықсыз, пайдасыз 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60 - 34,2</w:t>
                  </w:r>
                  <w:r w:rsidRPr="00B3180A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110 - 62,8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5 - 3</w:t>
                  </w:r>
                  <w:r w:rsidRPr="00B3180A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«Теміртау қаласы №9 мектеп-лицейі»КММ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«Өмір сүру» атты роликке №2 нысан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31"/>
              <w:gridCol w:w="6727"/>
            </w:tblGrid>
            <w:tr w:rsidR="00300775" w:rsidRPr="00B3180A" w:rsidTr="00B3180A">
              <w:trPr>
                <w:trHeight w:val="380"/>
              </w:trPr>
              <w:tc>
                <w:tcPr>
                  <w:tcW w:w="7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Нәтижелері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i/>
                      <w:iCs/>
                      <w:lang w:val="kk-KZ"/>
                    </w:rPr>
                    <w:lastRenderedPageBreak/>
                    <w:t>оқушылардың саны және пайызы %</w:t>
                  </w:r>
                </w:p>
              </w:tc>
            </w:tr>
            <w:tr w:rsidR="00300775" w:rsidRPr="00B3180A" w:rsidTr="00B3180A">
              <w:trPr>
                <w:trHeight w:val="807"/>
              </w:trPr>
              <w:tc>
                <w:tcPr>
                  <w:tcW w:w="71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lastRenderedPageBreak/>
                    <w:t>Қамтылған оқушылар саны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(8-11 сыныптар)</w:t>
                  </w:r>
                </w:p>
              </w:tc>
              <w:tc>
                <w:tcPr>
                  <w:tcW w:w="6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175 қатысқан оқушы саны 94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en-US"/>
                    </w:rPr>
                    <w:t>%</w:t>
                  </w:r>
                </w:p>
              </w:tc>
            </w:tr>
            <w:tr w:rsidR="00300775" w:rsidRPr="00B3180A" w:rsidTr="00B3180A">
              <w:trPr>
                <w:trHeight w:val="807"/>
              </w:trPr>
              <w:tc>
                <w:tcPr>
                  <w:tcW w:w="71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Қиын жағдайға тап болғандар жасөспірім кімге жүгінеді: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- </w:t>
                  </w: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ата-аналарына %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достарына %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арнайы ұйымдарға, сенім телефонына 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98 - 56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62 - 35,4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15 - 8,5 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%</w:t>
                  </w:r>
                </w:p>
              </w:tc>
            </w:tr>
            <w:tr w:rsidR="00300775" w:rsidRPr="00B3180A" w:rsidTr="00B3180A">
              <w:trPr>
                <w:trHeight w:val="282"/>
              </w:trPr>
              <w:tc>
                <w:tcPr>
                  <w:tcW w:w="71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Жасөспірімнің өмірлік қиын жағдайдан шығудың қауіпті жолдарын түсіну деңгейі: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түсінеді (80-100%)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жалпы түсінікке ие (51-79%)</w:t>
                  </w:r>
                </w:p>
                <w:p w:rsidR="00300775" w:rsidRPr="00B3180A" w:rsidRDefault="00300775" w:rsidP="00B3180A">
                  <w:pPr>
                    <w:spacing w:after="0" w:line="240" w:lineRule="auto"/>
                    <w:ind w:left="28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түсінбейді (50% және төмен)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right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jc w:val="right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89 - 50,8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74 - 42,2 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12 - 6,8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%</w:t>
                  </w:r>
                </w:p>
              </w:tc>
            </w:tr>
            <w:tr w:rsidR="00300775" w:rsidRPr="00B3180A" w:rsidTr="00B3180A">
              <w:trPr>
                <w:trHeight w:val="282"/>
              </w:trPr>
              <w:tc>
                <w:tcPr>
                  <w:tcW w:w="71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Көргеннен кейін оқушыларға роликтің әсер етуі: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қызықты, пайдалы 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жалпы көруге және қолдануға болады 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- қызықсыз, пайдасыз 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114 - 65,1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%</w:t>
                  </w:r>
                </w:p>
                <w:p w:rsidR="00300775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61 - 34,8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%</w:t>
                  </w:r>
                </w:p>
                <w:p w:rsidR="00B3180A" w:rsidRPr="00B3180A" w:rsidRDefault="00300775" w:rsidP="00B3180A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3180A">
                    <w:rPr>
                      <w:rFonts w:ascii="Times New Roman" w:eastAsia="Times New Roman" w:hAnsi="Times New Roman" w:cs="Times New Roman"/>
                      <w:lang w:val="kk-KZ"/>
                    </w:rPr>
                    <w:t>0 - 0</w:t>
                  </w:r>
                  <w:r w:rsidRPr="00B3180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%</w:t>
                  </w:r>
                </w:p>
              </w:tc>
            </w:tr>
          </w:tbl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  </w:t>
            </w:r>
          </w:p>
          <w:p w:rsidR="00300775" w:rsidRPr="00B3180A" w:rsidRDefault="00300775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lastRenderedPageBreak/>
              <w:drawing>
                <wp:inline distT="0" distB="0" distL="0" distR="0">
                  <wp:extent cx="2059912" cy="1545336"/>
                  <wp:effectExtent l="19050" t="0" r="0" b="0"/>
                  <wp:docPr id="7" name="Рисунок 3" descr="http://temirshcool9.ucoz.net/fayl/IMG-20181129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mirshcool9.ucoz.net/fayl/IMG-20181129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764" cy="154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677829" cy="2008895"/>
                  <wp:effectExtent l="19050" t="0" r="8221" b="0"/>
                  <wp:docPr id="8" name="Рисунок 4" descr="http://temirshcool9.ucoz.net/fayl/IMG-20181129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mirshcool9.ucoz.net/fayl/IMG-20181129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55" cy="201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775" w:rsidRPr="00B3180A" w:rsidRDefault="00EA5186" w:rsidP="00B31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A518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  <w:r w:rsidR="00300775"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 </w:t>
            </w:r>
            <w:r w:rsidRPr="00EA518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shape id="_x0000_i1026" type="#_x0000_t75" alt="" style="width:23.75pt;height:23.75pt"/>
              </w:pict>
            </w:r>
          </w:p>
          <w:p w:rsidR="00B3180A" w:rsidRPr="00B3180A" w:rsidRDefault="00300775" w:rsidP="00B31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3180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90524" w:rsidRPr="00B3180A" w:rsidRDefault="00890524" w:rsidP="00B3180A"/>
    <w:sectPr w:rsidR="00890524" w:rsidRPr="00B3180A" w:rsidSect="003007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38E"/>
    <w:multiLevelType w:val="multilevel"/>
    <w:tmpl w:val="F90A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404CE"/>
    <w:multiLevelType w:val="multilevel"/>
    <w:tmpl w:val="2350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40A6"/>
    <w:multiLevelType w:val="multilevel"/>
    <w:tmpl w:val="DC8A4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524D2"/>
    <w:multiLevelType w:val="multilevel"/>
    <w:tmpl w:val="7878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76CB6"/>
    <w:multiLevelType w:val="multilevel"/>
    <w:tmpl w:val="AEFA4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97A61"/>
    <w:multiLevelType w:val="multilevel"/>
    <w:tmpl w:val="770A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1254B"/>
    <w:multiLevelType w:val="multilevel"/>
    <w:tmpl w:val="F30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76369"/>
    <w:multiLevelType w:val="multilevel"/>
    <w:tmpl w:val="D97A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329E8"/>
    <w:multiLevelType w:val="multilevel"/>
    <w:tmpl w:val="BF5A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42D38"/>
    <w:multiLevelType w:val="multilevel"/>
    <w:tmpl w:val="0EE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B2D01"/>
    <w:multiLevelType w:val="multilevel"/>
    <w:tmpl w:val="6682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36FED"/>
    <w:multiLevelType w:val="multilevel"/>
    <w:tmpl w:val="6592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F094A"/>
    <w:multiLevelType w:val="multilevel"/>
    <w:tmpl w:val="234C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777CF"/>
    <w:multiLevelType w:val="multilevel"/>
    <w:tmpl w:val="2CB6B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34C"/>
    <w:rsid w:val="00300775"/>
    <w:rsid w:val="00890524"/>
    <w:rsid w:val="00965DD6"/>
    <w:rsid w:val="00AF734C"/>
    <w:rsid w:val="00B3180A"/>
    <w:rsid w:val="00E91C9F"/>
    <w:rsid w:val="00EA5186"/>
    <w:rsid w:val="00EF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20"/>
  </w:style>
  <w:style w:type="paragraph" w:styleId="2">
    <w:name w:val="heading 2"/>
    <w:basedOn w:val="a"/>
    <w:link w:val="20"/>
    <w:uiPriority w:val="9"/>
    <w:qFormat/>
    <w:rsid w:val="00AF7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3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734C"/>
    <w:rPr>
      <w:b/>
      <w:bCs/>
    </w:rPr>
  </w:style>
  <w:style w:type="character" w:styleId="a5">
    <w:name w:val="Hyperlink"/>
    <w:basedOn w:val="a0"/>
    <w:uiPriority w:val="99"/>
    <w:semiHidden/>
    <w:unhideWhenUsed/>
    <w:rsid w:val="00B3180A"/>
    <w:rPr>
      <w:color w:val="0000FF"/>
      <w:u w:val="single"/>
    </w:rPr>
  </w:style>
  <w:style w:type="character" w:customStyle="1" w:styleId="paddingright">
    <w:name w:val="paddingright"/>
    <w:basedOn w:val="a0"/>
    <w:rsid w:val="00B3180A"/>
  </w:style>
  <w:style w:type="character" w:customStyle="1" w:styleId="tsp">
    <w:name w:val="tsp"/>
    <w:basedOn w:val="a0"/>
    <w:rsid w:val="00B3180A"/>
  </w:style>
  <w:style w:type="character" w:customStyle="1" w:styleId="time">
    <w:name w:val="time"/>
    <w:basedOn w:val="a0"/>
    <w:rsid w:val="00B3180A"/>
  </w:style>
  <w:style w:type="character" w:customStyle="1" w:styleId="temperature">
    <w:name w:val="temperature"/>
    <w:basedOn w:val="a0"/>
    <w:rsid w:val="00B3180A"/>
  </w:style>
  <w:style w:type="paragraph" w:styleId="a6">
    <w:name w:val="Balloon Text"/>
    <w:basedOn w:val="a"/>
    <w:link w:val="a7"/>
    <w:uiPriority w:val="99"/>
    <w:semiHidden/>
    <w:unhideWhenUsed/>
    <w:rsid w:val="0030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620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1070">
                  <w:marLeft w:val="158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194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929">
                  <w:marLeft w:val="158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20612">
          <w:marLeft w:val="0"/>
          <w:marRight w:val="0"/>
          <w:marTop w:val="0"/>
          <w:marBottom w:val="0"/>
          <w:divBdr>
            <w:top w:val="single" w:sz="6" w:space="0" w:color="D2E8FF"/>
            <w:left w:val="single" w:sz="6" w:space="0" w:color="D2E8FF"/>
            <w:bottom w:val="single" w:sz="6" w:space="0" w:color="D2E8FF"/>
            <w:right w:val="single" w:sz="6" w:space="0" w:color="D2E8FF"/>
          </w:divBdr>
          <w:divsChild>
            <w:div w:id="11777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3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601463">
                  <w:marLeft w:val="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592">
                  <w:marLeft w:val="0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Альмира</cp:lastModifiedBy>
  <cp:revision>4</cp:revision>
  <dcterms:created xsi:type="dcterms:W3CDTF">2020-11-18T06:14:00Z</dcterms:created>
  <dcterms:modified xsi:type="dcterms:W3CDTF">2021-01-28T07:04:00Z</dcterms:modified>
</cp:coreProperties>
</file>